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B0" w:rsidRPr="00BD131B" w:rsidRDefault="006F52B0" w:rsidP="006F52B0">
      <w:pPr>
        <w:jc w:val="center"/>
        <w:rPr>
          <w:rFonts w:ascii="Jokerman" w:hAnsi="Jokerman"/>
          <w:b/>
          <w:sz w:val="28"/>
          <w:szCs w:val="28"/>
        </w:rPr>
      </w:pPr>
      <w:r>
        <w:rPr>
          <w:rFonts w:ascii="Jokerman" w:hAnsi="Jokerman"/>
          <w:b/>
          <w:sz w:val="28"/>
          <w:szCs w:val="28"/>
        </w:rPr>
        <w:t xml:space="preserve">Two Faces of </w:t>
      </w:r>
      <w:r w:rsidRPr="00BD131B">
        <w:rPr>
          <w:rFonts w:ascii="Jokerman" w:hAnsi="Jokerman"/>
          <w:b/>
          <w:sz w:val="28"/>
          <w:szCs w:val="28"/>
        </w:rPr>
        <w:t>Mystery</w:t>
      </w:r>
      <w:r>
        <w:rPr>
          <w:rFonts w:ascii="Jokerman" w:hAnsi="Jokerman"/>
          <w:b/>
          <w:sz w:val="28"/>
          <w:szCs w:val="28"/>
        </w:rPr>
        <w:t>:</w:t>
      </w:r>
      <w:r w:rsidRPr="00BD131B">
        <w:rPr>
          <w:rFonts w:ascii="Jokerman" w:hAnsi="Jokerman"/>
          <w:b/>
          <w:sz w:val="28"/>
          <w:szCs w:val="28"/>
        </w:rPr>
        <w:t xml:space="preserve">  Detective Fiction and Horror Fiction</w:t>
      </w:r>
    </w:p>
    <w:p w:rsidR="006F52B0" w:rsidRDefault="006F52B0" w:rsidP="006F52B0">
      <w:pPr>
        <w:jc w:val="center"/>
      </w:pPr>
      <w:r>
        <w:rPr>
          <w:noProof/>
          <w:snapToGrid/>
          <w:color w:val="0000FF"/>
        </w:rPr>
        <w:drawing>
          <wp:inline distT="0" distB="0" distL="0" distR="0">
            <wp:extent cx="1609725" cy="1666875"/>
            <wp:effectExtent l="0" t="0" r="9525" b="9525"/>
            <wp:docPr id="3" name="Picture 3" descr="stock-illustration-8457911-vampire-mon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tock-illustration-8457911-vampire-monster">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666875"/>
                    </a:xfrm>
                    <a:prstGeom prst="rect">
                      <a:avLst/>
                    </a:prstGeom>
                    <a:noFill/>
                    <a:ln>
                      <a:noFill/>
                    </a:ln>
                  </pic:spPr>
                </pic:pic>
              </a:graphicData>
            </a:graphic>
          </wp:inline>
        </w:drawing>
      </w:r>
      <w:r>
        <w:t xml:space="preserve">     </w:t>
      </w:r>
      <w:r>
        <w:rPr>
          <w:noProof/>
          <w:snapToGrid/>
          <w:color w:val="0000FF"/>
        </w:rPr>
        <w:drawing>
          <wp:inline distT="0" distB="0" distL="0" distR="0">
            <wp:extent cx="1676400" cy="2028825"/>
            <wp:effectExtent l="0" t="0" r="0" b="9525"/>
            <wp:docPr id="2" name="Picture 2" descr="janus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janus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2028825"/>
                    </a:xfrm>
                    <a:prstGeom prst="rect">
                      <a:avLst/>
                    </a:prstGeom>
                    <a:noFill/>
                    <a:ln>
                      <a:noFill/>
                    </a:ln>
                  </pic:spPr>
                </pic:pic>
              </a:graphicData>
            </a:graphic>
          </wp:inline>
        </w:drawing>
      </w:r>
      <w:r>
        <w:t xml:space="preserve">     </w:t>
      </w:r>
      <w:r>
        <w:rPr>
          <w:noProof/>
          <w:snapToGrid/>
          <w:color w:val="0000FF"/>
        </w:rPr>
        <w:drawing>
          <wp:inline distT="0" distB="0" distL="0" distR="0">
            <wp:extent cx="1295400" cy="1800225"/>
            <wp:effectExtent l="0" t="0" r="0" b="9525"/>
            <wp:docPr id="1" name="Picture 1" descr="stock-illustration-48674976-sherlock-holmes-investigato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tock-illustration-48674976-sherlock-holmes-investigato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800225"/>
                    </a:xfrm>
                    <a:prstGeom prst="rect">
                      <a:avLst/>
                    </a:prstGeom>
                    <a:noFill/>
                    <a:ln>
                      <a:noFill/>
                    </a:ln>
                  </pic:spPr>
                </pic:pic>
              </a:graphicData>
            </a:graphic>
          </wp:inline>
        </w:drawing>
      </w:r>
    </w:p>
    <w:p w:rsidR="006F52B0" w:rsidRPr="006912A2" w:rsidRDefault="006F52B0" w:rsidP="006F52B0">
      <w:pPr>
        <w:jc w:val="center"/>
        <w:rPr>
          <w:b/>
        </w:rPr>
      </w:pPr>
    </w:p>
    <w:p w:rsidR="006F52B0" w:rsidRPr="009D62C3" w:rsidRDefault="006F52B0" w:rsidP="006F52B0">
      <w:pPr>
        <w:jc w:val="center"/>
        <w:rPr>
          <w:rFonts w:ascii="Calibri" w:hAnsi="Calibri"/>
          <w:b/>
        </w:rPr>
      </w:pPr>
      <w:r w:rsidRPr="009D62C3">
        <w:rPr>
          <w:rFonts w:ascii="Calibri" w:hAnsi="Calibri"/>
          <w:b/>
        </w:rPr>
        <w:t>Freshman Seminar: One Credit</w:t>
      </w:r>
    </w:p>
    <w:p w:rsidR="006F52B0" w:rsidRPr="009D62C3" w:rsidRDefault="006F52B0" w:rsidP="006F52B0">
      <w:pPr>
        <w:pStyle w:val="NoSpacing"/>
        <w:jc w:val="center"/>
        <w:rPr>
          <w:sz w:val="24"/>
          <w:szCs w:val="24"/>
        </w:rPr>
      </w:pPr>
      <w:r w:rsidRPr="009D62C3">
        <w:rPr>
          <w:sz w:val="24"/>
          <w:szCs w:val="24"/>
        </w:rPr>
        <w:t>ARTSCI 1138.xx</w:t>
      </w:r>
    </w:p>
    <w:p w:rsidR="006F52B0" w:rsidRPr="009D62C3" w:rsidRDefault="006F52B0" w:rsidP="006F52B0">
      <w:pPr>
        <w:pStyle w:val="NoSpacing"/>
        <w:jc w:val="center"/>
        <w:rPr>
          <w:sz w:val="24"/>
          <w:szCs w:val="24"/>
        </w:rPr>
      </w:pPr>
      <w:r w:rsidRPr="009D62C3">
        <w:rPr>
          <w:sz w:val="24"/>
          <w:szCs w:val="24"/>
        </w:rPr>
        <w:t>Day TBA</w:t>
      </w:r>
    </w:p>
    <w:p w:rsidR="006F52B0" w:rsidRPr="009D62C3" w:rsidRDefault="006F52B0" w:rsidP="006F52B0">
      <w:pPr>
        <w:pStyle w:val="NoSpacing"/>
        <w:jc w:val="center"/>
        <w:rPr>
          <w:sz w:val="24"/>
          <w:szCs w:val="24"/>
        </w:rPr>
      </w:pPr>
      <w:r w:rsidRPr="009D62C3">
        <w:rPr>
          <w:sz w:val="24"/>
          <w:szCs w:val="24"/>
        </w:rPr>
        <w:t>Time and Place TBA</w:t>
      </w:r>
    </w:p>
    <w:p w:rsidR="006F52B0" w:rsidRDefault="006F52B0" w:rsidP="006F52B0"/>
    <w:p w:rsidR="006F52B0" w:rsidRPr="009D62C3" w:rsidRDefault="006F52B0" w:rsidP="006F52B0">
      <w:pPr>
        <w:rPr>
          <w:rFonts w:ascii="Calibri" w:hAnsi="Calibri"/>
        </w:rPr>
      </w:pPr>
      <w:r w:rsidRPr="009D62C3">
        <w:rPr>
          <w:rFonts w:ascii="Calibri" w:hAnsi="Calibri"/>
        </w:rPr>
        <w:t>Professor Steven Fink</w:t>
      </w:r>
    </w:p>
    <w:p w:rsidR="006F52B0" w:rsidRPr="009D62C3" w:rsidRDefault="006F52B0" w:rsidP="006F52B0">
      <w:pPr>
        <w:rPr>
          <w:rFonts w:ascii="Calibri" w:hAnsi="Calibri"/>
        </w:rPr>
      </w:pPr>
      <w:r w:rsidRPr="009D62C3">
        <w:rPr>
          <w:rFonts w:ascii="Calibri" w:hAnsi="Calibri"/>
        </w:rPr>
        <w:t>Department of English</w:t>
      </w:r>
    </w:p>
    <w:p w:rsidR="006F52B0" w:rsidRPr="009D62C3" w:rsidRDefault="006F52B0" w:rsidP="006F52B0">
      <w:pPr>
        <w:rPr>
          <w:rFonts w:ascii="Calibri" w:hAnsi="Calibri"/>
        </w:rPr>
      </w:pPr>
      <w:r w:rsidRPr="009D62C3">
        <w:rPr>
          <w:rFonts w:ascii="Calibri" w:hAnsi="Calibri"/>
        </w:rPr>
        <w:t>Office Hours TBA</w:t>
      </w:r>
    </w:p>
    <w:p w:rsidR="006F52B0" w:rsidRPr="009D62C3" w:rsidRDefault="006F52B0" w:rsidP="006F52B0">
      <w:pPr>
        <w:rPr>
          <w:rFonts w:ascii="Calibri" w:hAnsi="Calibri"/>
        </w:rPr>
      </w:pPr>
      <w:r w:rsidRPr="009D62C3">
        <w:rPr>
          <w:rFonts w:ascii="Calibri" w:hAnsi="Calibri"/>
        </w:rPr>
        <w:t>114 University Hall</w:t>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b/>
        </w:rPr>
        <w:t>Course Description</w:t>
      </w:r>
      <w:r w:rsidRPr="009D62C3">
        <w:rPr>
          <w:rFonts w:ascii="Calibri" w:hAnsi="Calibri"/>
        </w:rPr>
        <w:t xml:space="preserve">:  Edgar Allan Poe was a master of both the horror story and the detective story, and in some respects these are antithetical genres: one indulges in fantasies of the supernatural and irrational, while the other imagines a world that can be comprehended and restored to order by the super-rational detective hero.  But both genres construct plots that start with a mystery—some incident or perception that seems to defy the laws of reason or of nature—a murder, a monstrous apparition, a ghost, etc.  While the horror story irresistibly pulls the characters—and the readers—into an imagined world where the irrational or supernatural must be accepted as “real,” the detective story imagines a world in which the super-rational triumphs over the irrational.  In this course we will read and analyze examples of these complementary genres—first with some examples of each genre by Poe, and then in Arthur Conan Doyle’s Sherlock Holmes novella </w:t>
      </w:r>
      <w:r w:rsidRPr="009D62C3">
        <w:rPr>
          <w:rFonts w:ascii="Calibri" w:hAnsi="Calibri"/>
          <w:i/>
        </w:rPr>
        <w:t xml:space="preserve">The Hound of the Baskervilles </w:t>
      </w:r>
      <w:r w:rsidRPr="009D62C3">
        <w:rPr>
          <w:rFonts w:ascii="Calibri" w:hAnsi="Calibri"/>
        </w:rPr>
        <w:t xml:space="preserve">and Bram Stoker’s classic novel of horror, </w:t>
      </w:r>
      <w:r w:rsidRPr="009D62C3">
        <w:rPr>
          <w:rFonts w:ascii="Calibri" w:hAnsi="Calibri"/>
          <w:i/>
        </w:rPr>
        <w:t xml:space="preserve">Dracula.  </w:t>
      </w:r>
      <w:r w:rsidRPr="009D62C3">
        <w:rPr>
          <w:rFonts w:ascii="Calibri" w:hAnsi="Calibri"/>
        </w:rPr>
        <w:t xml:space="preserve">Time permitting, we will throw in some stories by H.P. Lovecraft, Agatha Christie, and Henry James’s classic “The Turn of the Screw.”   </w:t>
      </w:r>
    </w:p>
    <w:p w:rsidR="006F52B0" w:rsidRPr="009D62C3" w:rsidRDefault="006F52B0" w:rsidP="006F52B0">
      <w:pPr>
        <w:rPr>
          <w:rFonts w:ascii="Calibri" w:hAnsi="Calibri"/>
        </w:rPr>
      </w:pPr>
    </w:p>
    <w:p w:rsidR="006F52B0" w:rsidRDefault="006F52B0" w:rsidP="006F52B0">
      <w:pPr>
        <w:rPr>
          <w:rFonts w:ascii="Calibri" w:hAnsi="Calibri"/>
          <w:i/>
        </w:rPr>
      </w:pPr>
      <w:r w:rsidRPr="009D62C3">
        <w:rPr>
          <w:rFonts w:ascii="Calibri" w:hAnsi="Calibri"/>
        </w:rPr>
        <w:t xml:space="preserve">Fundamentally, we will approach these works in the context of understanding literary formulas, genres, and archetypes, in terms of both artistic form and the cultural context and implications of these genres .  Our critical framework will draw upon some relevant selections from John C. Cawelti’s study </w:t>
      </w:r>
      <w:r w:rsidRPr="009D62C3">
        <w:rPr>
          <w:rFonts w:ascii="Calibri" w:hAnsi="Calibri"/>
          <w:i/>
        </w:rPr>
        <w:t>Adventure, Mystery, and Romance: : Formula Stories as Art and Popular Culture</w:t>
      </w:r>
      <w:r w:rsidRPr="009D62C3">
        <w:rPr>
          <w:rFonts w:ascii="Calibri" w:hAnsi="Calibri"/>
        </w:rPr>
        <w:t xml:space="preserve">, and from Terry Heller’s </w:t>
      </w:r>
      <w:r w:rsidRPr="009D62C3">
        <w:rPr>
          <w:rFonts w:ascii="Calibri" w:hAnsi="Calibri"/>
          <w:i/>
        </w:rPr>
        <w:t>The Delights of Terror: An Aesthetics of the Tale of Terror.</w:t>
      </w:r>
    </w:p>
    <w:p w:rsidR="006F52B0" w:rsidRDefault="006F52B0" w:rsidP="006F52B0">
      <w:pPr>
        <w:rPr>
          <w:rFonts w:ascii="Calibri" w:hAnsi="Calibri"/>
          <w:i/>
        </w:rPr>
      </w:pPr>
      <w:bookmarkStart w:id="0" w:name="_GoBack"/>
      <w:bookmarkEnd w:id="0"/>
    </w:p>
    <w:p w:rsidR="006F52B0" w:rsidRDefault="006F52B0" w:rsidP="006F52B0">
      <w:pPr>
        <w:rPr>
          <w:rFonts w:ascii="Calibri" w:hAnsi="Calibri"/>
        </w:rPr>
      </w:pPr>
      <w:r>
        <w:rPr>
          <w:rFonts w:ascii="Calibri" w:hAnsi="Calibri"/>
          <w:b/>
        </w:rPr>
        <w:lastRenderedPageBreak/>
        <w:t xml:space="preserve">Texts: </w:t>
      </w:r>
      <w:r>
        <w:rPr>
          <w:rFonts w:ascii="Calibri" w:hAnsi="Calibri"/>
        </w:rPr>
        <w:t>You will be asked to purchase the following texts, both of which are widely available in new and used editions in bookstores and online.  Any edition of the complete texts is sufficient:</w:t>
      </w:r>
    </w:p>
    <w:p w:rsidR="006F52B0" w:rsidRDefault="006F52B0" w:rsidP="006F52B0">
      <w:pPr>
        <w:rPr>
          <w:rFonts w:ascii="Calibri" w:hAnsi="Calibri"/>
          <w:i/>
        </w:rPr>
      </w:pPr>
      <w:r>
        <w:rPr>
          <w:rFonts w:ascii="Calibri" w:hAnsi="Calibri"/>
        </w:rPr>
        <w:tab/>
        <w:t xml:space="preserve">Sir Arthur Conan Doyle, </w:t>
      </w:r>
      <w:r>
        <w:rPr>
          <w:rFonts w:ascii="Calibri" w:hAnsi="Calibri"/>
          <w:i/>
        </w:rPr>
        <w:t>The Hound of the Baskervilles</w:t>
      </w:r>
    </w:p>
    <w:p w:rsidR="006F52B0" w:rsidRDefault="006F52B0" w:rsidP="006F52B0">
      <w:pPr>
        <w:rPr>
          <w:rFonts w:ascii="Calibri" w:hAnsi="Calibri"/>
          <w:i/>
        </w:rPr>
      </w:pPr>
      <w:r>
        <w:rPr>
          <w:rFonts w:ascii="Calibri" w:hAnsi="Calibri"/>
          <w:i/>
        </w:rPr>
        <w:tab/>
      </w:r>
      <w:r>
        <w:rPr>
          <w:rFonts w:ascii="Calibri" w:hAnsi="Calibri"/>
        </w:rPr>
        <w:t xml:space="preserve">Bram Stoker, </w:t>
      </w:r>
      <w:r>
        <w:rPr>
          <w:rFonts w:ascii="Calibri" w:hAnsi="Calibri"/>
          <w:i/>
        </w:rPr>
        <w:t>Dracula</w:t>
      </w:r>
    </w:p>
    <w:p w:rsidR="006F52B0" w:rsidRDefault="006F52B0" w:rsidP="006F52B0">
      <w:pPr>
        <w:rPr>
          <w:rFonts w:ascii="Calibri" w:hAnsi="Calibri"/>
        </w:rPr>
      </w:pPr>
      <w:r>
        <w:rPr>
          <w:rFonts w:ascii="Calibri" w:hAnsi="Calibri"/>
        </w:rPr>
        <w:t xml:space="preserve">All readings from Edgar Allan Poe can be found online at the excellent Edgar Allan Poe Society of Baltimore website, </w:t>
      </w:r>
      <w:hyperlink r:id="rId12" w:history="1">
        <w:r w:rsidRPr="00FF140E">
          <w:rPr>
            <w:rStyle w:val="Hyperlink"/>
            <w:rFonts w:ascii="Calibri" w:hAnsi="Calibri"/>
          </w:rPr>
          <w:t>http://www.eapoe.org</w:t>
        </w:r>
      </w:hyperlink>
      <w:r>
        <w:rPr>
          <w:rFonts w:ascii="Calibri" w:hAnsi="Calibri"/>
        </w:rPr>
        <w:t xml:space="preserve">. </w:t>
      </w:r>
    </w:p>
    <w:p w:rsidR="006F52B0" w:rsidRDefault="006F52B0" w:rsidP="006F52B0">
      <w:pPr>
        <w:rPr>
          <w:rFonts w:ascii="Calibri" w:hAnsi="Calibri"/>
        </w:rPr>
      </w:pPr>
      <w:r>
        <w:rPr>
          <w:rFonts w:ascii="Calibri" w:hAnsi="Calibri"/>
        </w:rPr>
        <w:t xml:space="preserve">Selected readings from John G. Cawelti, </w:t>
      </w:r>
      <w:r>
        <w:rPr>
          <w:rFonts w:ascii="Calibri" w:hAnsi="Calibri"/>
          <w:i/>
        </w:rPr>
        <w:t xml:space="preserve">Adventure, Mystery, and Romance </w:t>
      </w:r>
      <w:r>
        <w:rPr>
          <w:rFonts w:ascii="Calibri" w:hAnsi="Calibri"/>
        </w:rPr>
        <w:t xml:space="preserve">and from Terry Heller, </w:t>
      </w:r>
      <w:r>
        <w:rPr>
          <w:rFonts w:ascii="Calibri" w:hAnsi="Calibri"/>
          <w:i/>
        </w:rPr>
        <w:t xml:space="preserve">The Delights of Terror </w:t>
      </w:r>
      <w:r>
        <w:rPr>
          <w:rFonts w:ascii="Calibri" w:hAnsi="Calibri"/>
        </w:rPr>
        <w:t>will be posted on Carmen.</w:t>
      </w:r>
    </w:p>
    <w:p w:rsidR="006F52B0" w:rsidRPr="00361901" w:rsidRDefault="006F52B0" w:rsidP="006F52B0">
      <w:pPr>
        <w:rPr>
          <w:rFonts w:ascii="Calibri" w:hAnsi="Calibri"/>
        </w:rPr>
      </w:pPr>
      <w:r>
        <w:rPr>
          <w:rFonts w:ascii="Calibri" w:hAnsi="Calibri"/>
        </w:rPr>
        <w:t>Sources for additional materials will be provided in class.</w:t>
      </w:r>
    </w:p>
    <w:p w:rsidR="006F52B0" w:rsidRPr="009D62C3" w:rsidRDefault="006F52B0" w:rsidP="006F52B0">
      <w:pPr>
        <w:rPr>
          <w:rFonts w:ascii="Calibri" w:hAnsi="Calibri"/>
        </w:rPr>
      </w:pP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b/>
        </w:rPr>
        <w:t>Course requirements</w:t>
      </w:r>
      <w:r w:rsidRPr="009D62C3">
        <w:rPr>
          <w:rFonts w:ascii="Calibri" w:hAnsi="Calibri"/>
        </w:rPr>
        <w:t>: You are expected to attend each class, having read all the materials assigned for that day, and participate in class discussions.  I expect active engagement.  This means taking notes on your readings and writing down questions or reactions to bring to class—a good practice is to prepare for each class by writing down at least three questions you would like to have addressed in class discussion. I will evaluate your participation by how actively you provide comments and ask questions.</w:t>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rPr>
        <w:t xml:space="preserve">Each week you will be required to keep a critical journal, writing at least a page of 250 words.  In this journal you will be expected to reflect on the reading of the week and/or past class discussions. Your journal entries may be submitted in hard copy or electronically, and you should retain and compile them for the end of the course.  For your final journal entry, you will identify and reflect upon some work </w:t>
      </w:r>
      <w:r w:rsidRPr="001434A4">
        <w:rPr>
          <w:rFonts w:ascii="Calibri" w:hAnsi="Calibri"/>
        </w:rPr>
        <w:t>(in any medium--short story, novel, graphic novel, film, TV show, etc.)</w:t>
      </w:r>
      <w:r w:rsidRPr="009D62C3">
        <w:rPr>
          <w:rFonts w:ascii="Calibri" w:hAnsi="Calibri"/>
        </w:rPr>
        <w:t xml:space="preserve"> that </w:t>
      </w:r>
      <w:r w:rsidRPr="001434A4">
        <w:rPr>
          <w:rFonts w:ascii="Calibri" w:hAnsi="Calibri"/>
        </w:rPr>
        <w:t xml:space="preserve">you </w:t>
      </w:r>
      <w:r>
        <w:rPr>
          <w:rFonts w:ascii="Calibri" w:hAnsi="Calibri"/>
        </w:rPr>
        <w:t xml:space="preserve">have </w:t>
      </w:r>
      <w:r w:rsidRPr="001434A4">
        <w:rPr>
          <w:rFonts w:ascii="Calibri" w:hAnsi="Calibri"/>
        </w:rPr>
        <w:t>encounter</w:t>
      </w:r>
      <w:r>
        <w:rPr>
          <w:rFonts w:ascii="Calibri" w:hAnsi="Calibri"/>
        </w:rPr>
        <w:t>ed</w:t>
      </w:r>
      <w:r w:rsidRPr="001434A4">
        <w:rPr>
          <w:rFonts w:ascii="Calibri" w:hAnsi="Calibri"/>
        </w:rPr>
        <w:t xml:space="preserve"> outside of class to which our class </w:t>
      </w:r>
      <w:r>
        <w:rPr>
          <w:rFonts w:ascii="Calibri" w:hAnsi="Calibri"/>
        </w:rPr>
        <w:t xml:space="preserve">material and </w:t>
      </w:r>
      <w:r w:rsidRPr="001434A4">
        <w:rPr>
          <w:rFonts w:ascii="Calibri" w:hAnsi="Calibri"/>
        </w:rPr>
        <w:t xml:space="preserve">discussions seem to be relevant and illuminating. </w:t>
      </w:r>
      <w:r w:rsidRPr="009D62C3">
        <w:rPr>
          <w:rFonts w:ascii="Calibri" w:hAnsi="Calibri"/>
        </w:rPr>
        <w:t>While the journal entries are exploratory and relatively informal, I nevertheless expect clear, precise, and correct writing that demonstrates astute critical thinking about the issues of the seminar.</w:t>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b/>
        </w:rPr>
        <w:t>Grading:</w:t>
      </w:r>
      <w:r w:rsidRPr="009D62C3">
        <w:rPr>
          <w:rFonts w:ascii="Calibri" w:hAnsi="Calibri"/>
        </w:rPr>
        <w:t xml:space="preserve"> Satisfactory/ Unsatisfactory  </w:t>
      </w:r>
    </w:p>
    <w:p w:rsidR="006F52B0" w:rsidRPr="009D62C3" w:rsidRDefault="006F52B0" w:rsidP="006F52B0">
      <w:pPr>
        <w:ind w:left="720"/>
        <w:rPr>
          <w:rFonts w:ascii="Calibri" w:hAnsi="Calibri"/>
        </w:rPr>
      </w:pPr>
      <w:r w:rsidRPr="009D62C3">
        <w:rPr>
          <w:rFonts w:ascii="Calibri" w:hAnsi="Calibri"/>
        </w:rPr>
        <w:t xml:space="preserve">        Class participation:   35%  </w:t>
      </w:r>
    </w:p>
    <w:p w:rsidR="006F52B0" w:rsidRPr="009D62C3" w:rsidRDefault="006F52B0" w:rsidP="006F52B0">
      <w:pPr>
        <w:rPr>
          <w:rFonts w:ascii="Calibri" w:hAnsi="Calibri"/>
        </w:rPr>
      </w:pPr>
      <w:r w:rsidRPr="009D62C3">
        <w:rPr>
          <w:rFonts w:ascii="Calibri" w:hAnsi="Calibri"/>
        </w:rPr>
        <w:t xml:space="preserve">                      Critical Journals:       65%</w:t>
      </w:r>
      <w:r w:rsidRPr="009D62C3">
        <w:rPr>
          <w:rFonts w:ascii="Calibri" w:hAnsi="Calibri"/>
        </w:rPr>
        <w:tab/>
        <w:t xml:space="preserve"> </w:t>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b/>
        </w:rPr>
        <w:t>Course Objectives:</w:t>
      </w:r>
      <w:r w:rsidRPr="009D62C3">
        <w:rPr>
          <w:rFonts w:ascii="Calibri" w:hAnsi="Calibri"/>
        </w:rPr>
        <w:t xml:space="preserve">  </w:t>
      </w:r>
    </w:p>
    <w:p w:rsidR="006F52B0" w:rsidRPr="009D62C3" w:rsidRDefault="006F52B0" w:rsidP="006F52B0">
      <w:pPr>
        <w:widowControl/>
        <w:numPr>
          <w:ilvl w:val="0"/>
          <w:numId w:val="1"/>
        </w:numPr>
        <w:rPr>
          <w:rFonts w:ascii="Calibri" w:hAnsi="Calibri"/>
        </w:rPr>
      </w:pPr>
      <w:r w:rsidRPr="009D62C3">
        <w:rPr>
          <w:rFonts w:ascii="Calibri" w:hAnsi="Calibri"/>
        </w:rPr>
        <w:t xml:space="preserve">To get a better understanding of </w:t>
      </w:r>
      <w:r>
        <w:rPr>
          <w:rFonts w:ascii="Calibri" w:hAnsi="Calibri"/>
        </w:rPr>
        <w:t xml:space="preserve"> narrative and plot structure, </w:t>
      </w:r>
      <w:r w:rsidRPr="009D62C3">
        <w:rPr>
          <w:rFonts w:ascii="Calibri" w:hAnsi="Calibri"/>
        </w:rPr>
        <w:t>literary formulas, genres, and archetypes, in terms of both artistic form and the cultural context and implications of these genres</w:t>
      </w:r>
    </w:p>
    <w:p w:rsidR="006F52B0" w:rsidRPr="009D62C3" w:rsidRDefault="006F52B0" w:rsidP="006F52B0">
      <w:pPr>
        <w:widowControl/>
        <w:numPr>
          <w:ilvl w:val="0"/>
          <w:numId w:val="1"/>
        </w:numPr>
        <w:rPr>
          <w:rFonts w:ascii="Calibri" w:hAnsi="Calibri"/>
        </w:rPr>
      </w:pPr>
      <w:r w:rsidRPr="009D62C3">
        <w:rPr>
          <w:rFonts w:ascii="Calibri" w:hAnsi="Calibri"/>
        </w:rPr>
        <w:t xml:space="preserve">To </w:t>
      </w:r>
      <w:r>
        <w:rPr>
          <w:rFonts w:ascii="Calibri" w:hAnsi="Calibri"/>
        </w:rPr>
        <w:t>gain insight into the specific popular culture genres of horror fiction and detective fiction, both in aesthetic and historical terms</w:t>
      </w:r>
    </w:p>
    <w:p w:rsidR="006F52B0" w:rsidRDefault="006F52B0" w:rsidP="006F52B0">
      <w:pPr>
        <w:widowControl/>
        <w:numPr>
          <w:ilvl w:val="0"/>
          <w:numId w:val="1"/>
        </w:numPr>
        <w:rPr>
          <w:rFonts w:ascii="Calibri" w:hAnsi="Calibri"/>
        </w:rPr>
      </w:pPr>
      <w:r w:rsidRPr="009D62C3">
        <w:rPr>
          <w:rFonts w:ascii="Calibri" w:hAnsi="Calibri"/>
        </w:rPr>
        <w:t xml:space="preserve">To enhance critical </w:t>
      </w:r>
      <w:r>
        <w:rPr>
          <w:rFonts w:ascii="Calibri" w:hAnsi="Calibri"/>
        </w:rPr>
        <w:t xml:space="preserve">thinking, writing, and speaking </w:t>
      </w:r>
      <w:r w:rsidRPr="009D62C3">
        <w:rPr>
          <w:rFonts w:ascii="Calibri" w:hAnsi="Calibri"/>
        </w:rPr>
        <w:t xml:space="preserve">skills </w:t>
      </w:r>
    </w:p>
    <w:p w:rsidR="006F52B0" w:rsidRPr="009D62C3" w:rsidRDefault="006F52B0" w:rsidP="006F52B0">
      <w:pPr>
        <w:widowControl/>
        <w:ind w:left="1080"/>
        <w:rPr>
          <w:rFonts w:ascii="Calibri" w:hAnsi="Calibri"/>
        </w:rPr>
      </w:pPr>
    </w:p>
    <w:p w:rsidR="006F52B0" w:rsidRPr="009D62C3" w:rsidRDefault="006F52B0" w:rsidP="006F52B0">
      <w:pPr>
        <w:rPr>
          <w:rFonts w:ascii="Calibri" w:hAnsi="Calibri"/>
        </w:rPr>
      </w:pPr>
    </w:p>
    <w:p w:rsidR="006F52B0" w:rsidRPr="009D62C3" w:rsidRDefault="006F52B0" w:rsidP="006F52B0">
      <w:pPr>
        <w:pStyle w:val="Heading1"/>
        <w:rPr>
          <w:rFonts w:ascii="Calibri" w:hAnsi="Calibri"/>
        </w:rPr>
      </w:pPr>
      <w:r w:rsidRPr="009D62C3">
        <w:rPr>
          <w:rFonts w:ascii="Calibri" w:hAnsi="Calibri"/>
        </w:rPr>
        <w:lastRenderedPageBreak/>
        <w:t>Academic Misconduct</w:t>
      </w:r>
    </w:p>
    <w:p w:rsidR="006F52B0" w:rsidRDefault="006F52B0" w:rsidP="006F52B0">
      <w:pPr>
        <w:pStyle w:val="BodyText"/>
        <w:rPr>
          <w:rFonts w:ascii="Calibri" w:hAnsi="Calibri"/>
        </w:rPr>
      </w:pPr>
      <w:r w:rsidRPr="009D62C3">
        <w:rPr>
          <w:rFonts w:ascii="Calibri" w:hAnsi="Calibri"/>
        </w:rPr>
        <w:t xml:space="preserve">Academic misconduct is a violation of the code of Student Conduct. The University defines academic misconduct as any activity that compromises the academic integrity of the institution, or subverts the educational process. Some examples are copying other people’s work, having others write a paper for you, or cheating on examinations. For more information please go to </w:t>
      </w:r>
      <w:hyperlink r:id="rId13" w:history="1">
        <w:r w:rsidRPr="009D62C3">
          <w:rPr>
            <w:rStyle w:val="Hyperlink"/>
            <w:rFonts w:ascii="Calibri" w:hAnsi="Calibri"/>
          </w:rPr>
          <w:t>http://www.osu.edu/offices/oaa/procedures/index.htm</w:t>
        </w:r>
      </w:hyperlink>
      <w:r w:rsidRPr="009D62C3">
        <w:rPr>
          <w:rFonts w:ascii="Calibri" w:hAnsi="Calibri"/>
        </w:rPr>
        <w:t xml:space="preserve">. </w:t>
      </w:r>
    </w:p>
    <w:p w:rsidR="006F52B0" w:rsidRDefault="006F52B0" w:rsidP="006F52B0">
      <w:pPr>
        <w:pStyle w:val="BodyText"/>
        <w:rPr>
          <w:rFonts w:ascii="Calibri" w:hAnsi="Calibri"/>
        </w:rPr>
      </w:pPr>
    </w:p>
    <w:p w:rsidR="006F52B0" w:rsidRDefault="006F52B0" w:rsidP="006F52B0">
      <w:pPr>
        <w:rPr>
          <w:rFonts w:ascii="Calibri" w:hAnsi="Calibri"/>
          <w:b/>
          <w:sz w:val="32"/>
          <w:szCs w:val="32"/>
        </w:rPr>
      </w:pPr>
    </w:p>
    <w:p w:rsidR="006F52B0" w:rsidRPr="009D62C3" w:rsidRDefault="006F52B0" w:rsidP="006F52B0">
      <w:pPr>
        <w:rPr>
          <w:rFonts w:ascii="Calibri" w:hAnsi="Calibri"/>
          <w:sz w:val="32"/>
          <w:szCs w:val="32"/>
        </w:rPr>
      </w:pPr>
      <w:r w:rsidRPr="009D62C3">
        <w:rPr>
          <w:rFonts w:ascii="Calibri" w:hAnsi="Calibri"/>
          <w:b/>
          <w:sz w:val="32"/>
          <w:szCs w:val="32"/>
        </w:rPr>
        <w:t>Students with Disabilities</w:t>
      </w:r>
      <w:r w:rsidRPr="009D62C3">
        <w:rPr>
          <w:rFonts w:ascii="Calibri" w:hAnsi="Calibri"/>
          <w:sz w:val="32"/>
          <w:szCs w:val="32"/>
        </w:rPr>
        <w:t xml:space="preserve"> </w:t>
      </w:r>
    </w:p>
    <w:p w:rsidR="006F52B0" w:rsidRPr="009D62C3" w:rsidRDefault="006F52B0" w:rsidP="006F52B0">
      <w:pPr>
        <w:pStyle w:val="Heading2"/>
        <w:rPr>
          <w:rFonts w:ascii="Calibri" w:hAnsi="Calibri"/>
          <w:b w:val="0"/>
          <w:sz w:val="22"/>
          <w:szCs w:val="22"/>
        </w:rPr>
      </w:pPr>
      <w:r w:rsidRPr="009D62C3">
        <w:rPr>
          <w:rFonts w:ascii="Calibri" w:hAnsi="Calibri"/>
          <w:b w:val="0"/>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4" w:history="1">
        <w:r w:rsidRPr="009D62C3">
          <w:rPr>
            <w:rStyle w:val="Hyperlink"/>
            <w:rFonts w:ascii="Calibri" w:hAnsi="Calibri"/>
            <w:b w:val="0"/>
            <w:sz w:val="32"/>
            <w:szCs w:val="32"/>
          </w:rPr>
          <w:t>http://www.ods.ohio-state.edu/</w:t>
        </w:r>
      </w:hyperlink>
    </w:p>
    <w:p w:rsidR="006F52B0" w:rsidRPr="009D62C3" w:rsidRDefault="006F52B0" w:rsidP="006F52B0">
      <w:pPr>
        <w:tabs>
          <w:tab w:val="left" w:pos="540"/>
          <w:tab w:val="left" w:pos="6480"/>
          <w:tab w:val="left" w:pos="8639"/>
        </w:tabs>
        <w:rPr>
          <w:rFonts w:ascii="Calibri" w:hAnsi="Calibri"/>
        </w:rPr>
      </w:pPr>
    </w:p>
    <w:p w:rsidR="006F52B0" w:rsidRPr="009D62C3" w:rsidRDefault="006F52B0" w:rsidP="006F52B0">
      <w:pPr>
        <w:tabs>
          <w:tab w:val="left" w:pos="540"/>
          <w:tab w:val="left" w:pos="6480"/>
          <w:tab w:val="left" w:pos="8639"/>
        </w:tabs>
        <w:rPr>
          <w:rFonts w:ascii="Calibri" w:hAnsi="Calibri"/>
          <w:b/>
          <w:sz w:val="22"/>
          <w:szCs w:val="22"/>
        </w:rPr>
      </w:pPr>
    </w:p>
    <w:p w:rsidR="006F52B0" w:rsidRPr="009D62C3" w:rsidRDefault="006F52B0" w:rsidP="006F52B0">
      <w:pPr>
        <w:tabs>
          <w:tab w:val="left" w:pos="540"/>
          <w:tab w:val="left" w:pos="6480"/>
          <w:tab w:val="left" w:pos="8639"/>
        </w:tabs>
        <w:rPr>
          <w:rFonts w:ascii="Calibri" w:hAnsi="Calibri"/>
          <w:sz w:val="22"/>
          <w:szCs w:val="22"/>
        </w:rPr>
      </w:pPr>
      <w:r w:rsidRPr="009D62C3">
        <w:rPr>
          <w:rFonts w:ascii="Calibri" w:hAnsi="Calibri"/>
          <w:b/>
          <w:sz w:val="22"/>
          <w:szCs w:val="22"/>
        </w:rPr>
        <w:t>Biographical Statement</w:t>
      </w:r>
    </w:p>
    <w:p w:rsidR="006F52B0" w:rsidRPr="009D62C3" w:rsidRDefault="006F52B0" w:rsidP="006F52B0">
      <w:pPr>
        <w:tabs>
          <w:tab w:val="left" w:pos="540"/>
          <w:tab w:val="left" w:pos="6480"/>
          <w:tab w:val="left" w:pos="8639"/>
        </w:tabs>
        <w:rPr>
          <w:rFonts w:ascii="Calibri" w:hAnsi="Calibri"/>
        </w:rPr>
      </w:pPr>
      <w:r>
        <w:rPr>
          <w:rFonts w:ascii="Calibri" w:hAnsi="Calibri"/>
        </w:rPr>
        <w:t>I have been on the faculty of the OSU Department of English since 1982, specializing in 19</w:t>
      </w:r>
      <w:r w:rsidRPr="00D759E4">
        <w:rPr>
          <w:rFonts w:ascii="Calibri" w:hAnsi="Calibri"/>
          <w:vertAlign w:val="superscript"/>
        </w:rPr>
        <w:t>th</w:t>
      </w:r>
      <w:r>
        <w:rPr>
          <w:rFonts w:ascii="Calibri" w:hAnsi="Calibri"/>
        </w:rPr>
        <w:t>- and 20</w:t>
      </w:r>
      <w:r w:rsidRPr="00D759E4">
        <w:rPr>
          <w:rFonts w:ascii="Calibri" w:hAnsi="Calibri"/>
          <w:vertAlign w:val="superscript"/>
        </w:rPr>
        <w:t>th</w:t>
      </w:r>
      <w:r>
        <w:rPr>
          <w:rFonts w:ascii="Calibri" w:hAnsi="Calibri"/>
        </w:rPr>
        <w:t xml:space="preserve">-century American literature.  For the past five years, I have been the Associate Executive Dean of the College of Arts and Sciences, overseeing all curriculum matters in the college.  I am the author of a book on Henry David Thoreau and numerous chapters and articles on American literature.  I have twice been selected as the OSU English Departent’s Undergraduate Professor of the Year; and I was the 2008 recipient of OSU’s Rodica C. Botoman Award for Undergraduate Teaching in the Humanities.  </w:t>
      </w:r>
    </w:p>
    <w:p w:rsidR="006F52B0" w:rsidRPr="009D62C3" w:rsidRDefault="006F52B0" w:rsidP="006F52B0">
      <w:pPr>
        <w:rPr>
          <w:rFonts w:ascii="Calibri" w:hAnsi="Calibri"/>
        </w:rPr>
      </w:pPr>
    </w:p>
    <w:p w:rsidR="006F52B0" w:rsidRPr="009D62C3" w:rsidRDefault="006F52B0" w:rsidP="006F52B0">
      <w:pPr>
        <w:rPr>
          <w:rFonts w:ascii="Calibri" w:hAnsi="Calibri"/>
          <w:b/>
        </w:rPr>
      </w:pPr>
    </w:p>
    <w:p w:rsidR="006F52B0" w:rsidRPr="009D62C3" w:rsidRDefault="006F52B0" w:rsidP="006F52B0">
      <w:pPr>
        <w:rPr>
          <w:rFonts w:ascii="Calibri" w:hAnsi="Calibri"/>
        </w:rPr>
      </w:pPr>
      <w:r w:rsidRPr="009D62C3">
        <w:rPr>
          <w:rFonts w:ascii="Calibri" w:hAnsi="Calibri"/>
          <w:b/>
        </w:rPr>
        <w:t>Weekly Readings:</w:t>
      </w:r>
    </w:p>
    <w:p w:rsidR="006F52B0" w:rsidRPr="009D62C3" w:rsidRDefault="006F52B0" w:rsidP="006F52B0">
      <w:pPr>
        <w:rPr>
          <w:rFonts w:ascii="Calibri" w:hAnsi="Calibri"/>
          <w:b/>
        </w:rPr>
      </w:pPr>
    </w:p>
    <w:p w:rsidR="006F52B0" w:rsidRPr="009D62C3" w:rsidRDefault="006F52B0" w:rsidP="006F52B0">
      <w:pPr>
        <w:rPr>
          <w:rFonts w:ascii="Calibri" w:hAnsi="Calibri"/>
        </w:rPr>
      </w:pPr>
      <w:r w:rsidRPr="009D62C3">
        <w:rPr>
          <w:rFonts w:ascii="Calibri" w:hAnsi="Calibri"/>
        </w:rPr>
        <w:t>1.</w:t>
      </w:r>
      <w:r w:rsidRPr="009D62C3">
        <w:rPr>
          <w:rFonts w:ascii="Calibri" w:hAnsi="Calibri"/>
        </w:rPr>
        <w:tab/>
      </w:r>
      <w:r w:rsidRPr="009D62C3">
        <w:rPr>
          <w:rFonts w:ascii="Calibri" w:hAnsi="Calibri"/>
        </w:rPr>
        <w:tab/>
        <w:t xml:space="preserve"> Introduction</w:t>
      </w:r>
      <w:r>
        <w:rPr>
          <w:rFonts w:ascii="Calibri" w:hAnsi="Calibri"/>
        </w:rPr>
        <w:t>: Plot, Formulaic Literature, horror and detective fiction</w:t>
      </w:r>
    </w:p>
    <w:p w:rsidR="006F52B0" w:rsidRPr="009D62C3" w:rsidRDefault="006F52B0" w:rsidP="006F52B0">
      <w:pPr>
        <w:rPr>
          <w:rFonts w:ascii="Calibri" w:hAnsi="Calibri"/>
        </w:rPr>
      </w:pPr>
      <w:r w:rsidRPr="009D62C3">
        <w:rPr>
          <w:rFonts w:ascii="Calibri" w:hAnsi="Calibri"/>
        </w:rPr>
        <w:tab/>
      </w:r>
      <w:r w:rsidRPr="009D62C3">
        <w:rPr>
          <w:rFonts w:ascii="Calibri" w:hAnsi="Calibri"/>
        </w:rPr>
        <w:tab/>
        <w:t xml:space="preserve"> </w:t>
      </w:r>
      <w:r>
        <w:rPr>
          <w:rFonts w:ascii="Calibri" w:hAnsi="Calibri"/>
        </w:rPr>
        <w:t xml:space="preserve">Cawelti, Chapter 1 </w:t>
      </w:r>
      <w:r w:rsidRPr="009D62C3">
        <w:rPr>
          <w:rFonts w:ascii="Calibri" w:hAnsi="Calibri"/>
        </w:rPr>
        <w:t>“</w:t>
      </w:r>
      <w:r>
        <w:rPr>
          <w:rFonts w:ascii="Calibri" w:hAnsi="Calibri"/>
        </w:rPr>
        <w:t>The Study of Literary Formulas</w:t>
      </w:r>
      <w:r w:rsidRPr="009D62C3">
        <w:rPr>
          <w:rFonts w:ascii="Calibri" w:hAnsi="Calibri"/>
        </w:rPr>
        <w:t xml:space="preserve">” </w:t>
      </w:r>
    </w:p>
    <w:p w:rsidR="006F52B0" w:rsidRPr="009D62C3" w:rsidRDefault="006F52B0" w:rsidP="006F52B0">
      <w:pPr>
        <w:ind w:left="720" w:firstLine="720"/>
        <w:rPr>
          <w:rFonts w:ascii="Calibri" w:hAnsi="Calibri"/>
        </w:rPr>
      </w:pPr>
      <w:r w:rsidRPr="009D62C3">
        <w:rPr>
          <w:rFonts w:ascii="Calibri" w:hAnsi="Calibri"/>
        </w:rPr>
        <w:t xml:space="preserve"> </w:t>
      </w:r>
      <w:r>
        <w:rPr>
          <w:rFonts w:ascii="Calibri" w:hAnsi="Calibri"/>
        </w:rPr>
        <w:t>Heller, Chapter 1, “Introduction”</w:t>
      </w:r>
    </w:p>
    <w:p w:rsidR="006F52B0" w:rsidRPr="009D62C3" w:rsidRDefault="006F52B0" w:rsidP="006F52B0">
      <w:pPr>
        <w:rPr>
          <w:rFonts w:ascii="Calibri" w:hAnsi="Calibri"/>
        </w:rPr>
      </w:pPr>
    </w:p>
    <w:p w:rsidR="006F52B0" w:rsidRDefault="006F52B0" w:rsidP="006F52B0">
      <w:pPr>
        <w:rPr>
          <w:rFonts w:ascii="Calibri" w:hAnsi="Calibri"/>
        </w:rPr>
      </w:pPr>
      <w:r w:rsidRPr="009D62C3">
        <w:rPr>
          <w:rFonts w:ascii="Calibri" w:hAnsi="Calibri"/>
        </w:rPr>
        <w:t xml:space="preserve">2. </w:t>
      </w:r>
      <w:r w:rsidRPr="009D62C3">
        <w:rPr>
          <w:rFonts w:ascii="Calibri" w:hAnsi="Calibri"/>
        </w:rPr>
        <w:tab/>
      </w:r>
      <w:r w:rsidRPr="009D62C3">
        <w:rPr>
          <w:rFonts w:ascii="Calibri" w:hAnsi="Calibri"/>
        </w:rPr>
        <w:tab/>
      </w:r>
      <w:r>
        <w:rPr>
          <w:rFonts w:ascii="Calibri" w:hAnsi="Calibri"/>
        </w:rPr>
        <w:t>Edgar Allan Poe, “The Sphinx”</w:t>
      </w:r>
    </w:p>
    <w:p w:rsidR="006F52B0" w:rsidRPr="009D62C3" w:rsidRDefault="006F52B0" w:rsidP="006F52B0">
      <w:pPr>
        <w:rPr>
          <w:rFonts w:ascii="Calibri" w:hAnsi="Calibri"/>
        </w:rPr>
      </w:pPr>
      <w:r>
        <w:rPr>
          <w:rFonts w:ascii="Calibri" w:hAnsi="Calibri"/>
        </w:rPr>
        <w:tab/>
      </w:r>
      <w:r>
        <w:rPr>
          <w:rFonts w:ascii="Calibri" w:hAnsi="Calibri"/>
        </w:rPr>
        <w:tab/>
        <w:t>Cawelti, from Ch. 2, “Notes Toward a Typology of Literary Formulas”: “Mystery”</w:t>
      </w:r>
    </w:p>
    <w:p w:rsidR="006F52B0" w:rsidRPr="009D62C3" w:rsidRDefault="006F52B0" w:rsidP="006F52B0">
      <w:pPr>
        <w:rPr>
          <w:rFonts w:ascii="Calibri" w:hAnsi="Calibri"/>
        </w:rPr>
      </w:pPr>
    </w:p>
    <w:p w:rsidR="006F52B0" w:rsidRDefault="006F52B0" w:rsidP="006F52B0">
      <w:pPr>
        <w:rPr>
          <w:rFonts w:ascii="Calibri" w:hAnsi="Calibri"/>
        </w:rPr>
      </w:pPr>
      <w:r w:rsidRPr="009D62C3">
        <w:rPr>
          <w:rFonts w:ascii="Calibri" w:hAnsi="Calibri"/>
        </w:rPr>
        <w:t xml:space="preserve">3.  </w:t>
      </w:r>
      <w:r w:rsidRPr="009D62C3">
        <w:rPr>
          <w:rFonts w:ascii="Calibri" w:hAnsi="Calibri"/>
        </w:rPr>
        <w:tab/>
      </w:r>
      <w:r w:rsidRPr="009D62C3">
        <w:rPr>
          <w:rFonts w:ascii="Calibri" w:hAnsi="Calibri"/>
        </w:rPr>
        <w:tab/>
      </w:r>
      <w:r>
        <w:rPr>
          <w:rFonts w:ascii="Calibri" w:hAnsi="Calibri"/>
        </w:rPr>
        <w:t>Poe, “The Fall of the House of Usher”</w:t>
      </w:r>
      <w:r w:rsidRPr="009D62C3">
        <w:rPr>
          <w:rFonts w:ascii="Calibri" w:hAnsi="Calibri"/>
        </w:rPr>
        <w:t xml:space="preserve">  </w:t>
      </w:r>
    </w:p>
    <w:p w:rsidR="006F52B0" w:rsidRDefault="006F52B0" w:rsidP="006F52B0">
      <w:pPr>
        <w:rPr>
          <w:rFonts w:ascii="Calibri" w:hAnsi="Calibri"/>
        </w:rPr>
      </w:pPr>
      <w:r>
        <w:rPr>
          <w:rFonts w:ascii="Calibri" w:hAnsi="Calibri"/>
        </w:rPr>
        <w:tab/>
      </w:r>
      <w:r>
        <w:rPr>
          <w:rFonts w:ascii="Calibri" w:hAnsi="Calibri"/>
        </w:rPr>
        <w:tab/>
        <w:t>Heller, ch. 8, “The Entrapped Critic: Poe’s ‘The Fall of the House of Usher”</w:t>
      </w:r>
    </w:p>
    <w:p w:rsidR="006F52B0" w:rsidRDefault="006F52B0" w:rsidP="006F52B0">
      <w:pPr>
        <w:rPr>
          <w:rFonts w:ascii="Calibri" w:hAnsi="Calibri"/>
        </w:rPr>
      </w:pPr>
    </w:p>
    <w:p w:rsidR="006F52B0" w:rsidRDefault="006F52B0" w:rsidP="006F52B0">
      <w:pPr>
        <w:rPr>
          <w:rFonts w:ascii="Calibri" w:hAnsi="Calibri"/>
        </w:rPr>
      </w:pPr>
      <w:r>
        <w:rPr>
          <w:rFonts w:ascii="Calibri" w:hAnsi="Calibri"/>
        </w:rPr>
        <w:t xml:space="preserve">4.     </w:t>
      </w:r>
      <w:r>
        <w:rPr>
          <w:rFonts w:ascii="Calibri" w:hAnsi="Calibri"/>
        </w:rPr>
        <w:tab/>
      </w:r>
      <w:r>
        <w:rPr>
          <w:rFonts w:ascii="Calibri" w:hAnsi="Calibri"/>
        </w:rPr>
        <w:tab/>
        <w:t xml:space="preserve"> Poe, “Murders in the Rue Morgue”</w:t>
      </w:r>
    </w:p>
    <w:p w:rsidR="006F52B0" w:rsidRPr="009D62C3" w:rsidRDefault="006F52B0" w:rsidP="006F52B0">
      <w:pPr>
        <w:ind w:left="720"/>
        <w:rPr>
          <w:rFonts w:ascii="Calibri" w:hAnsi="Calibri"/>
        </w:rPr>
      </w:pPr>
      <w:r w:rsidRPr="009D62C3">
        <w:rPr>
          <w:rFonts w:ascii="Calibri" w:hAnsi="Calibri"/>
        </w:rPr>
        <w:tab/>
      </w:r>
      <w:r>
        <w:rPr>
          <w:rFonts w:ascii="Calibri" w:hAnsi="Calibri"/>
        </w:rPr>
        <w:t>Cawelti, Ch. 4, “The Formula of the Classic Detective Story”</w:t>
      </w:r>
      <w:r w:rsidRPr="009D62C3">
        <w:rPr>
          <w:rFonts w:ascii="Calibri" w:hAnsi="Calibri"/>
        </w:rPr>
        <w:tab/>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rPr>
        <w:t>5.</w:t>
      </w:r>
      <w:r w:rsidRPr="009D62C3">
        <w:rPr>
          <w:rFonts w:ascii="Calibri" w:hAnsi="Calibri"/>
        </w:rPr>
        <w:tab/>
      </w:r>
      <w:r w:rsidRPr="009D62C3">
        <w:rPr>
          <w:rFonts w:ascii="Calibri" w:hAnsi="Calibri"/>
        </w:rPr>
        <w:tab/>
      </w:r>
      <w:r>
        <w:rPr>
          <w:rFonts w:ascii="Calibri" w:hAnsi="Calibri"/>
        </w:rPr>
        <w:t>Poe, “Premature Burial”</w:t>
      </w:r>
    </w:p>
    <w:p w:rsidR="006F52B0" w:rsidRPr="009D62C3" w:rsidRDefault="006F52B0" w:rsidP="006F52B0">
      <w:pPr>
        <w:rPr>
          <w:rFonts w:ascii="Calibri" w:hAnsi="Calibri"/>
        </w:rPr>
      </w:pPr>
      <w:r w:rsidRPr="009D62C3">
        <w:rPr>
          <w:rFonts w:ascii="Calibri" w:hAnsi="Calibri"/>
        </w:rPr>
        <w:tab/>
      </w:r>
      <w:r w:rsidRPr="009D62C3">
        <w:rPr>
          <w:rFonts w:ascii="Calibri" w:hAnsi="Calibri"/>
        </w:rPr>
        <w:tab/>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rPr>
        <w:t xml:space="preserve">6. </w:t>
      </w:r>
      <w:r w:rsidRPr="009D62C3">
        <w:rPr>
          <w:rFonts w:ascii="Calibri" w:hAnsi="Calibri"/>
        </w:rPr>
        <w:tab/>
      </w:r>
      <w:r w:rsidRPr="009D62C3">
        <w:rPr>
          <w:rFonts w:ascii="Calibri" w:hAnsi="Calibri"/>
        </w:rPr>
        <w:tab/>
      </w:r>
      <w:r>
        <w:rPr>
          <w:rFonts w:ascii="Calibri" w:hAnsi="Calibri"/>
        </w:rPr>
        <w:t>Poe, “Ligeia”</w:t>
      </w:r>
    </w:p>
    <w:p w:rsidR="006F52B0" w:rsidRPr="009D62C3" w:rsidRDefault="006F52B0" w:rsidP="006F52B0">
      <w:pPr>
        <w:rPr>
          <w:rFonts w:ascii="Calibri" w:hAnsi="Calibri"/>
        </w:rPr>
      </w:pPr>
      <w:r w:rsidRPr="009D62C3">
        <w:rPr>
          <w:rFonts w:ascii="Calibri" w:hAnsi="Calibri"/>
        </w:rPr>
        <w:tab/>
      </w:r>
      <w:r w:rsidRPr="009D62C3">
        <w:rPr>
          <w:rFonts w:ascii="Calibri" w:hAnsi="Calibri"/>
        </w:rPr>
        <w:tab/>
      </w:r>
      <w:r>
        <w:rPr>
          <w:rFonts w:ascii="Calibri" w:hAnsi="Calibri"/>
        </w:rPr>
        <w:t xml:space="preserve">Heller, </w:t>
      </w:r>
      <w:r w:rsidRPr="009D62C3">
        <w:rPr>
          <w:rFonts w:ascii="Calibri" w:hAnsi="Calibri"/>
        </w:rPr>
        <w:t xml:space="preserve">  </w:t>
      </w:r>
      <w:r>
        <w:rPr>
          <w:rFonts w:ascii="Calibri" w:hAnsi="Calibri"/>
        </w:rPr>
        <w:t>Chapter 7, “Anticlosure: Poe’s ‘Ligeia’”</w:t>
      </w:r>
    </w:p>
    <w:p w:rsidR="006F52B0" w:rsidRPr="009D62C3" w:rsidRDefault="006F52B0" w:rsidP="006F52B0">
      <w:pPr>
        <w:rPr>
          <w:rFonts w:ascii="Calibri" w:hAnsi="Calibri"/>
        </w:rPr>
      </w:pPr>
    </w:p>
    <w:p w:rsidR="006F52B0" w:rsidRPr="00045E54" w:rsidRDefault="006F52B0" w:rsidP="006F52B0">
      <w:pPr>
        <w:rPr>
          <w:rFonts w:ascii="Calibri" w:hAnsi="Calibri"/>
          <w:i/>
        </w:rPr>
      </w:pPr>
      <w:r w:rsidRPr="009D62C3">
        <w:rPr>
          <w:rFonts w:ascii="Calibri" w:hAnsi="Calibri"/>
        </w:rPr>
        <w:t>7.</w:t>
      </w:r>
      <w:r w:rsidRPr="009D62C3">
        <w:rPr>
          <w:rFonts w:ascii="Calibri" w:hAnsi="Calibri"/>
        </w:rPr>
        <w:tab/>
      </w:r>
      <w:r w:rsidRPr="009D62C3">
        <w:rPr>
          <w:rFonts w:ascii="Calibri" w:hAnsi="Calibri"/>
        </w:rPr>
        <w:tab/>
      </w:r>
      <w:r>
        <w:rPr>
          <w:rFonts w:ascii="Calibri" w:hAnsi="Calibri"/>
        </w:rPr>
        <w:t xml:space="preserve">Arthur Conan Doyle </w:t>
      </w:r>
      <w:r>
        <w:rPr>
          <w:rFonts w:ascii="Calibri" w:hAnsi="Calibri"/>
          <w:i/>
        </w:rPr>
        <w:t>The Hound of the Baskervilles</w:t>
      </w:r>
    </w:p>
    <w:p w:rsidR="006F52B0" w:rsidRDefault="006F52B0" w:rsidP="006F52B0">
      <w:pPr>
        <w:rPr>
          <w:rFonts w:ascii="Calibri" w:hAnsi="Calibri"/>
        </w:rPr>
      </w:pPr>
      <w:r w:rsidRPr="009D62C3">
        <w:rPr>
          <w:rFonts w:ascii="Calibri" w:hAnsi="Calibri"/>
        </w:rPr>
        <w:t xml:space="preserve">       </w:t>
      </w:r>
      <w:r w:rsidRPr="009D62C3">
        <w:rPr>
          <w:rFonts w:ascii="Calibri" w:hAnsi="Calibri"/>
        </w:rPr>
        <w:tab/>
        <w:t xml:space="preserve">            </w:t>
      </w:r>
      <w:r>
        <w:rPr>
          <w:rFonts w:ascii="Calibri" w:hAnsi="Calibri"/>
        </w:rPr>
        <w:t>Cawelti, chapter 5, “The Art of the Classical Detective Story”</w:t>
      </w:r>
    </w:p>
    <w:p w:rsidR="006F52B0" w:rsidRPr="009D62C3" w:rsidRDefault="006F52B0" w:rsidP="006F52B0">
      <w:pPr>
        <w:rPr>
          <w:rFonts w:ascii="Calibri" w:hAnsi="Calibri"/>
        </w:rPr>
      </w:pPr>
    </w:p>
    <w:p w:rsidR="006F52B0" w:rsidRPr="00045E54" w:rsidRDefault="006F52B0" w:rsidP="006F52B0">
      <w:pPr>
        <w:rPr>
          <w:rFonts w:ascii="Calibri" w:hAnsi="Calibri"/>
        </w:rPr>
      </w:pPr>
      <w:r w:rsidRPr="009D62C3">
        <w:rPr>
          <w:rFonts w:ascii="Calibri" w:hAnsi="Calibri"/>
        </w:rPr>
        <w:t xml:space="preserve">8.    </w:t>
      </w:r>
      <w:r w:rsidRPr="009D62C3">
        <w:rPr>
          <w:rFonts w:ascii="Calibri" w:hAnsi="Calibri"/>
        </w:rPr>
        <w:tab/>
        <w:t xml:space="preserve">       </w:t>
      </w:r>
      <w:r w:rsidRPr="009D62C3">
        <w:rPr>
          <w:rFonts w:ascii="Calibri" w:hAnsi="Calibri"/>
        </w:rPr>
        <w:tab/>
      </w:r>
      <w:r>
        <w:rPr>
          <w:rFonts w:ascii="Calibri" w:hAnsi="Calibri"/>
        </w:rPr>
        <w:t xml:space="preserve">Conan Doyle, </w:t>
      </w:r>
      <w:r>
        <w:rPr>
          <w:rFonts w:ascii="Calibri" w:hAnsi="Calibri"/>
          <w:i/>
        </w:rPr>
        <w:t xml:space="preserve">The Hound of the Baskervilles, </w:t>
      </w:r>
      <w:r>
        <w:rPr>
          <w:rFonts w:ascii="Calibri" w:hAnsi="Calibri"/>
        </w:rPr>
        <w:t>continued.</w:t>
      </w:r>
    </w:p>
    <w:p w:rsidR="006F52B0" w:rsidRPr="009D62C3" w:rsidRDefault="006F52B0" w:rsidP="006F52B0">
      <w:pPr>
        <w:rPr>
          <w:rFonts w:ascii="Calibri" w:hAnsi="Calibri"/>
        </w:rPr>
      </w:pPr>
    </w:p>
    <w:p w:rsidR="006F52B0" w:rsidRPr="00045E54" w:rsidRDefault="006F52B0" w:rsidP="006F52B0">
      <w:pPr>
        <w:rPr>
          <w:rFonts w:ascii="Calibri" w:hAnsi="Calibri"/>
        </w:rPr>
      </w:pPr>
      <w:r w:rsidRPr="009D62C3">
        <w:rPr>
          <w:rFonts w:ascii="Calibri" w:hAnsi="Calibri"/>
        </w:rPr>
        <w:t xml:space="preserve">9.   </w:t>
      </w:r>
      <w:r w:rsidRPr="009D62C3">
        <w:rPr>
          <w:rFonts w:ascii="Calibri" w:hAnsi="Calibri"/>
        </w:rPr>
        <w:tab/>
        <w:t xml:space="preserve">    </w:t>
      </w:r>
      <w:r w:rsidRPr="009D62C3">
        <w:rPr>
          <w:rFonts w:ascii="Calibri" w:hAnsi="Calibri"/>
        </w:rPr>
        <w:tab/>
      </w:r>
      <w:r>
        <w:rPr>
          <w:rFonts w:ascii="Calibri" w:hAnsi="Calibri"/>
        </w:rPr>
        <w:t xml:space="preserve">Conan Doyle, </w:t>
      </w:r>
      <w:r>
        <w:rPr>
          <w:rFonts w:ascii="Calibri" w:hAnsi="Calibri"/>
          <w:i/>
        </w:rPr>
        <w:t xml:space="preserve">Hound of the Baskervilles, </w:t>
      </w:r>
      <w:r>
        <w:rPr>
          <w:rFonts w:ascii="Calibri" w:hAnsi="Calibri"/>
        </w:rPr>
        <w:t>continued;</w:t>
      </w:r>
    </w:p>
    <w:p w:rsidR="006F52B0" w:rsidRPr="009D62C3" w:rsidRDefault="006F52B0" w:rsidP="006F52B0">
      <w:pPr>
        <w:rPr>
          <w:rFonts w:ascii="Calibri" w:hAnsi="Calibri"/>
        </w:rPr>
      </w:pPr>
      <w:r w:rsidRPr="009D62C3">
        <w:rPr>
          <w:rFonts w:ascii="Calibri" w:hAnsi="Calibri"/>
        </w:rPr>
        <w:tab/>
      </w:r>
      <w:r w:rsidRPr="009D62C3">
        <w:rPr>
          <w:rFonts w:ascii="Calibri" w:hAnsi="Calibri"/>
        </w:rPr>
        <w:tab/>
      </w:r>
      <w:r>
        <w:rPr>
          <w:rFonts w:ascii="Calibri" w:hAnsi="Calibri"/>
        </w:rPr>
        <w:t>Another Sherlock Holmes short story, TBD</w:t>
      </w:r>
    </w:p>
    <w:p w:rsidR="006F52B0" w:rsidRPr="009D62C3" w:rsidRDefault="006F52B0" w:rsidP="006F52B0">
      <w:pPr>
        <w:rPr>
          <w:rFonts w:ascii="Calibri" w:hAnsi="Calibri"/>
        </w:rPr>
      </w:pPr>
    </w:p>
    <w:p w:rsidR="006F52B0" w:rsidRDefault="006F52B0" w:rsidP="006F52B0">
      <w:pPr>
        <w:rPr>
          <w:rFonts w:ascii="Calibri" w:hAnsi="Calibri"/>
        </w:rPr>
      </w:pPr>
      <w:r w:rsidRPr="009D62C3">
        <w:rPr>
          <w:rFonts w:ascii="Calibri" w:hAnsi="Calibri"/>
        </w:rPr>
        <w:t xml:space="preserve">10.      </w:t>
      </w:r>
      <w:r w:rsidRPr="009D62C3">
        <w:rPr>
          <w:rFonts w:ascii="Calibri" w:hAnsi="Calibri"/>
        </w:rPr>
        <w:tab/>
      </w:r>
      <w:r w:rsidRPr="009D62C3">
        <w:rPr>
          <w:rFonts w:ascii="Calibri" w:hAnsi="Calibri"/>
        </w:rPr>
        <w:tab/>
      </w:r>
      <w:r>
        <w:rPr>
          <w:rFonts w:ascii="Calibri" w:hAnsi="Calibri"/>
        </w:rPr>
        <w:t xml:space="preserve">Bram Stoker, </w:t>
      </w:r>
      <w:r>
        <w:rPr>
          <w:rFonts w:ascii="Calibri" w:hAnsi="Calibri"/>
          <w:i/>
        </w:rPr>
        <w:t>Dracula</w:t>
      </w:r>
      <w:r w:rsidRPr="009D62C3">
        <w:rPr>
          <w:rFonts w:ascii="Calibri" w:hAnsi="Calibri"/>
        </w:rPr>
        <w:t>.</w:t>
      </w:r>
    </w:p>
    <w:p w:rsidR="006F52B0" w:rsidRPr="00045E54" w:rsidRDefault="006F52B0" w:rsidP="006F52B0">
      <w:pPr>
        <w:rPr>
          <w:rFonts w:ascii="Calibri" w:hAnsi="Calibri"/>
        </w:rPr>
      </w:pPr>
      <w:r>
        <w:rPr>
          <w:rFonts w:ascii="Calibri" w:hAnsi="Calibri"/>
        </w:rPr>
        <w:tab/>
      </w:r>
      <w:r>
        <w:rPr>
          <w:rFonts w:ascii="Calibri" w:hAnsi="Calibri"/>
        </w:rPr>
        <w:tab/>
        <w:t xml:space="preserve">Heller, chapter 5, “”The Aesthetics of the Horror Thriller: Stoker’s </w:t>
      </w:r>
      <w:r>
        <w:rPr>
          <w:rFonts w:ascii="Calibri" w:hAnsi="Calibri"/>
          <w:i/>
        </w:rPr>
        <w:t>Dracula</w:t>
      </w:r>
      <w:r>
        <w:rPr>
          <w:rFonts w:ascii="Calibri" w:hAnsi="Calibri"/>
        </w:rPr>
        <w:t>”</w:t>
      </w:r>
    </w:p>
    <w:p w:rsidR="006F52B0" w:rsidRPr="009D62C3" w:rsidRDefault="006F52B0" w:rsidP="006F52B0">
      <w:pPr>
        <w:rPr>
          <w:rFonts w:ascii="Calibri" w:hAnsi="Calibri"/>
        </w:rPr>
      </w:pPr>
    </w:p>
    <w:p w:rsidR="006F52B0" w:rsidRPr="00AD3525" w:rsidRDefault="006F52B0" w:rsidP="006F52B0">
      <w:pPr>
        <w:rPr>
          <w:rFonts w:ascii="Calibri" w:hAnsi="Calibri"/>
        </w:rPr>
      </w:pPr>
      <w:r w:rsidRPr="009D62C3">
        <w:rPr>
          <w:rFonts w:ascii="Calibri" w:hAnsi="Calibri"/>
        </w:rPr>
        <w:t>11.</w:t>
      </w:r>
      <w:r w:rsidRPr="009D62C3">
        <w:rPr>
          <w:rFonts w:ascii="Calibri" w:hAnsi="Calibri"/>
        </w:rPr>
        <w:tab/>
      </w:r>
      <w:r w:rsidRPr="009D62C3">
        <w:rPr>
          <w:rFonts w:ascii="Calibri" w:hAnsi="Calibri"/>
        </w:rPr>
        <w:tab/>
      </w:r>
      <w:r>
        <w:rPr>
          <w:rFonts w:ascii="Calibri" w:hAnsi="Calibri"/>
        </w:rPr>
        <w:t xml:space="preserve">Stoker, </w:t>
      </w:r>
      <w:r>
        <w:rPr>
          <w:rFonts w:ascii="Calibri" w:hAnsi="Calibri"/>
          <w:i/>
        </w:rPr>
        <w:t>Dracula</w:t>
      </w:r>
      <w:r>
        <w:rPr>
          <w:rFonts w:ascii="Calibri" w:hAnsi="Calibri"/>
        </w:rPr>
        <w:t>, continued.</w:t>
      </w:r>
    </w:p>
    <w:p w:rsidR="006F52B0" w:rsidRPr="009D62C3" w:rsidRDefault="006F52B0" w:rsidP="006F52B0">
      <w:pPr>
        <w:rPr>
          <w:rFonts w:ascii="Calibri" w:hAnsi="Calibri"/>
        </w:rPr>
      </w:pPr>
    </w:p>
    <w:p w:rsidR="006F52B0" w:rsidRPr="009D62C3" w:rsidRDefault="006F52B0" w:rsidP="006F52B0">
      <w:pPr>
        <w:rPr>
          <w:rFonts w:ascii="Calibri" w:hAnsi="Calibri"/>
        </w:rPr>
      </w:pPr>
      <w:r w:rsidRPr="009D62C3">
        <w:rPr>
          <w:rFonts w:ascii="Calibri" w:hAnsi="Calibri"/>
        </w:rPr>
        <w:t xml:space="preserve">12.      </w:t>
      </w:r>
      <w:r w:rsidRPr="009D62C3">
        <w:rPr>
          <w:rFonts w:ascii="Calibri" w:hAnsi="Calibri"/>
        </w:rPr>
        <w:tab/>
      </w:r>
      <w:r w:rsidRPr="009D62C3">
        <w:rPr>
          <w:rFonts w:ascii="Calibri" w:hAnsi="Calibri"/>
        </w:rPr>
        <w:tab/>
        <w:t xml:space="preserve"> </w:t>
      </w:r>
      <w:r>
        <w:rPr>
          <w:rFonts w:ascii="Calibri" w:hAnsi="Calibri"/>
        </w:rPr>
        <w:t xml:space="preserve">Stoker, </w:t>
      </w:r>
      <w:r>
        <w:rPr>
          <w:rFonts w:ascii="Calibri" w:hAnsi="Calibri"/>
          <w:i/>
        </w:rPr>
        <w:t xml:space="preserve">Dracula, </w:t>
      </w:r>
      <w:r>
        <w:rPr>
          <w:rFonts w:ascii="Calibri" w:hAnsi="Calibri"/>
        </w:rPr>
        <w:t xml:space="preserve">continued. </w:t>
      </w:r>
      <w:r w:rsidRPr="009D62C3">
        <w:rPr>
          <w:rFonts w:ascii="Calibri" w:hAnsi="Calibri"/>
        </w:rPr>
        <w:t xml:space="preserve"> </w:t>
      </w:r>
    </w:p>
    <w:p w:rsidR="006F52B0" w:rsidRPr="009D62C3" w:rsidRDefault="006F52B0" w:rsidP="006F52B0">
      <w:pPr>
        <w:rPr>
          <w:rFonts w:ascii="Calibri" w:hAnsi="Calibri"/>
        </w:rPr>
      </w:pPr>
      <w:r w:rsidRPr="009D62C3">
        <w:rPr>
          <w:rFonts w:ascii="Calibri" w:hAnsi="Calibri"/>
        </w:rPr>
        <w:t xml:space="preserve">       </w:t>
      </w:r>
      <w:r w:rsidRPr="009D62C3">
        <w:rPr>
          <w:rFonts w:ascii="Calibri" w:hAnsi="Calibri"/>
        </w:rPr>
        <w:tab/>
      </w:r>
      <w:r w:rsidRPr="009D62C3">
        <w:rPr>
          <w:rFonts w:ascii="Calibri" w:hAnsi="Calibri"/>
        </w:rPr>
        <w:tab/>
        <w:t xml:space="preserve"> Proulx “Brokeman Mountain” </w:t>
      </w:r>
    </w:p>
    <w:p w:rsidR="006F52B0" w:rsidRPr="009D62C3" w:rsidRDefault="006F52B0" w:rsidP="006F52B0">
      <w:pPr>
        <w:rPr>
          <w:rFonts w:ascii="Calibri" w:hAnsi="Calibri"/>
        </w:rPr>
      </w:pPr>
    </w:p>
    <w:p w:rsidR="006F52B0" w:rsidRPr="00AD3525" w:rsidRDefault="006F52B0" w:rsidP="006F52B0">
      <w:pPr>
        <w:rPr>
          <w:rFonts w:ascii="Calibri" w:hAnsi="Calibri"/>
        </w:rPr>
      </w:pPr>
      <w:r w:rsidRPr="009D62C3">
        <w:rPr>
          <w:rFonts w:ascii="Calibri" w:hAnsi="Calibri"/>
        </w:rPr>
        <w:t xml:space="preserve">13.   </w:t>
      </w:r>
      <w:r w:rsidRPr="009D62C3">
        <w:rPr>
          <w:rFonts w:ascii="Calibri" w:hAnsi="Calibri"/>
        </w:rPr>
        <w:tab/>
      </w:r>
      <w:r w:rsidRPr="009D62C3">
        <w:rPr>
          <w:rFonts w:ascii="Calibri" w:hAnsi="Calibri"/>
        </w:rPr>
        <w:tab/>
        <w:t xml:space="preserve"> </w:t>
      </w:r>
      <w:r>
        <w:rPr>
          <w:rFonts w:ascii="Calibri" w:hAnsi="Calibri"/>
        </w:rPr>
        <w:t xml:space="preserve">Stoker, </w:t>
      </w:r>
      <w:r>
        <w:rPr>
          <w:rFonts w:ascii="Calibri" w:hAnsi="Calibri"/>
          <w:i/>
        </w:rPr>
        <w:t xml:space="preserve">Dracula, </w:t>
      </w:r>
      <w:r>
        <w:rPr>
          <w:rFonts w:ascii="Calibri" w:hAnsi="Calibri"/>
        </w:rPr>
        <w:t>continued.</w:t>
      </w:r>
    </w:p>
    <w:p w:rsidR="006F52B0" w:rsidRPr="009D62C3" w:rsidRDefault="006F52B0" w:rsidP="006F52B0">
      <w:pPr>
        <w:rPr>
          <w:rFonts w:ascii="Calibri" w:hAnsi="Calibri"/>
        </w:rPr>
      </w:pPr>
      <w:r w:rsidRPr="009D62C3">
        <w:rPr>
          <w:rFonts w:ascii="Calibri" w:hAnsi="Calibri"/>
        </w:rPr>
        <w:tab/>
      </w:r>
      <w:r w:rsidRPr="009D62C3">
        <w:rPr>
          <w:rFonts w:ascii="Calibri" w:hAnsi="Calibri"/>
        </w:rPr>
        <w:tab/>
        <w:t xml:space="preserve"> </w:t>
      </w:r>
    </w:p>
    <w:p w:rsidR="006F52B0" w:rsidRPr="00AD3525" w:rsidRDefault="006F52B0" w:rsidP="006F52B0">
      <w:pPr>
        <w:rPr>
          <w:rFonts w:ascii="Calibri" w:hAnsi="Calibri"/>
          <w:i/>
        </w:rPr>
      </w:pPr>
      <w:r w:rsidRPr="009D62C3">
        <w:rPr>
          <w:rFonts w:ascii="Calibri" w:hAnsi="Calibri"/>
        </w:rPr>
        <w:t>14.</w:t>
      </w:r>
      <w:r w:rsidRPr="009D62C3">
        <w:rPr>
          <w:rFonts w:ascii="Calibri" w:hAnsi="Calibri"/>
        </w:rPr>
        <w:tab/>
        <w:t xml:space="preserve">    </w:t>
      </w:r>
      <w:r w:rsidRPr="009D62C3">
        <w:rPr>
          <w:rFonts w:ascii="Calibri" w:hAnsi="Calibri"/>
        </w:rPr>
        <w:tab/>
        <w:t xml:space="preserve"> </w:t>
      </w:r>
      <w:r>
        <w:rPr>
          <w:rFonts w:ascii="Calibri" w:hAnsi="Calibri"/>
        </w:rPr>
        <w:t xml:space="preserve">Henry James, </w:t>
      </w:r>
      <w:r>
        <w:rPr>
          <w:rFonts w:ascii="Calibri" w:hAnsi="Calibri"/>
          <w:i/>
        </w:rPr>
        <w:t>The Turn of the Screw</w:t>
      </w:r>
    </w:p>
    <w:p w:rsidR="006F52B0" w:rsidRDefault="006F52B0" w:rsidP="006F52B0">
      <w:pPr>
        <w:rPr>
          <w:rFonts w:ascii="Calibri" w:hAnsi="Calibri"/>
        </w:rPr>
      </w:pPr>
      <w:r w:rsidRPr="009D62C3">
        <w:rPr>
          <w:rFonts w:ascii="Calibri" w:hAnsi="Calibri"/>
        </w:rPr>
        <w:t xml:space="preserve">                         </w:t>
      </w:r>
    </w:p>
    <w:p w:rsidR="006F52B0" w:rsidRDefault="006F52B0" w:rsidP="006F52B0">
      <w:pPr>
        <w:rPr>
          <w:rFonts w:ascii="Calibri" w:hAnsi="Calibri"/>
        </w:rPr>
      </w:pPr>
      <w:r>
        <w:rPr>
          <w:rFonts w:ascii="Calibri" w:hAnsi="Calibri"/>
        </w:rPr>
        <w:t>15.</w:t>
      </w:r>
      <w:r>
        <w:rPr>
          <w:rFonts w:ascii="Calibri" w:hAnsi="Calibri"/>
        </w:rPr>
        <w:tab/>
      </w:r>
      <w:r>
        <w:rPr>
          <w:rFonts w:ascii="Calibri" w:hAnsi="Calibri"/>
        </w:rPr>
        <w:tab/>
        <w:t xml:space="preserve">James, </w:t>
      </w:r>
      <w:r>
        <w:rPr>
          <w:rFonts w:ascii="Calibri" w:hAnsi="Calibri"/>
          <w:i/>
        </w:rPr>
        <w:t xml:space="preserve">The Turn of the Screw, </w:t>
      </w:r>
      <w:r>
        <w:rPr>
          <w:rFonts w:ascii="Calibri" w:hAnsi="Calibri"/>
        </w:rPr>
        <w:t>continued.</w:t>
      </w:r>
    </w:p>
    <w:p w:rsidR="006F52B0" w:rsidRDefault="006F52B0" w:rsidP="006F52B0">
      <w:pPr>
        <w:rPr>
          <w:rFonts w:ascii="Calibri" w:hAnsi="Calibri"/>
        </w:rPr>
      </w:pPr>
    </w:p>
    <w:p w:rsidR="006F52B0" w:rsidRPr="00AD3525" w:rsidRDefault="006F52B0" w:rsidP="006F52B0">
      <w:pPr>
        <w:rPr>
          <w:rFonts w:ascii="Calibri" w:hAnsi="Calibri"/>
          <w:sz w:val="20"/>
        </w:rPr>
      </w:pPr>
      <w:r>
        <w:rPr>
          <w:rFonts w:ascii="Calibri" w:hAnsi="Calibri"/>
        </w:rPr>
        <w:t xml:space="preserve">16. </w:t>
      </w:r>
      <w:r>
        <w:rPr>
          <w:rFonts w:ascii="Calibri" w:hAnsi="Calibri"/>
        </w:rPr>
        <w:tab/>
      </w:r>
      <w:r>
        <w:rPr>
          <w:rFonts w:ascii="Calibri" w:hAnsi="Calibri"/>
        </w:rPr>
        <w:tab/>
        <w:t>brief  presentation of final journal entry on outside material</w:t>
      </w:r>
    </w:p>
    <w:p w:rsidR="006F52B0" w:rsidRPr="009D62C3" w:rsidRDefault="006F52B0" w:rsidP="006F52B0">
      <w:pPr>
        <w:rPr>
          <w:rFonts w:ascii="Calibri" w:hAnsi="Calibri"/>
          <w:b/>
        </w:rPr>
      </w:pPr>
    </w:p>
    <w:p w:rsidR="006F52B0" w:rsidRPr="009D62C3" w:rsidRDefault="006F52B0" w:rsidP="006F52B0">
      <w:pPr>
        <w:rPr>
          <w:rFonts w:ascii="Calibri" w:hAnsi="Calibri"/>
        </w:rPr>
      </w:pPr>
    </w:p>
    <w:p w:rsidR="006F52B0" w:rsidRPr="009D62C3" w:rsidRDefault="006F52B0" w:rsidP="006F52B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p>
    <w:p w:rsidR="006F52B0" w:rsidRPr="009D62C3" w:rsidRDefault="006F52B0" w:rsidP="006F52B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p>
    <w:p w:rsidR="006F52B0" w:rsidRPr="009D62C3" w:rsidRDefault="006F52B0" w:rsidP="006F52B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p>
    <w:p w:rsidR="006F52B0" w:rsidRPr="009D62C3" w:rsidRDefault="006F52B0" w:rsidP="006F52B0">
      <w:pPr>
        <w:rPr>
          <w:rFonts w:ascii="Calibri" w:hAnsi="Calibri"/>
        </w:rPr>
      </w:pPr>
    </w:p>
    <w:p w:rsidR="006F52B0" w:rsidRPr="009D62C3" w:rsidRDefault="006F52B0" w:rsidP="006F52B0">
      <w:pPr>
        <w:rPr>
          <w:rFonts w:ascii="Calibri" w:hAnsi="Calibri"/>
        </w:rPr>
      </w:pPr>
    </w:p>
    <w:p w:rsidR="0032692E" w:rsidRDefault="0032692E"/>
    <w:sectPr w:rsidR="0032692E" w:rsidSect="00643506">
      <w:headerReference w:type="even" r:id="rId15"/>
      <w:headerReference w:type="default" r:id="rId16"/>
      <w:footerReference w:type="default" r:id="rId17"/>
      <w:footerReference w:type="first" r:id="rId18"/>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06" w:rsidRPr="003D74D3" w:rsidRDefault="006F52B0" w:rsidP="00643506">
    <w:pPr>
      <w:pStyle w:val="Footer"/>
      <w:jc w:val="center"/>
      <w:rPr>
        <w:rFonts w:ascii="Arial" w:hAnsi="Arial"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06" w:rsidRPr="00ED69EE" w:rsidRDefault="006F52B0" w:rsidP="00643506">
    <w:pPr>
      <w:pStyle w:val="Footer"/>
      <w:jc w:val="center"/>
      <w:rPr>
        <w:rFonts w:ascii="Arial" w:hAnsi="Arial" w:cs="Arial"/>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06" w:rsidRDefault="006F52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3506" w:rsidRDefault="006F52B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06" w:rsidRDefault="006F52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43506" w:rsidRDefault="006F52B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B0"/>
    <w:rsid w:val="0032692E"/>
    <w:rsid w:val="006F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B0"/>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6F52B0"/>
    <w:pPr>
      <w:keepNext/>
      <w:outlineLvl w:val="0"/>
    </w:pPr>
    <w:rPr>
      <w:rFonts w:ascii="Arial" w:hAnsi="Arial" w:cs="Arial"/>
      <w:b/>
      <w:bCs/>
      <w:sz w:val="22"/>
    </w:rPr>
  </w:style>
  <w:style w:type="paragraph" w:styleId="Heading2">
    <w:name w:val="heading 2"/>
    <w:basedOn w:val="Normal"/>
    <w:next w:val="Normal"/>
    <w:link w:val="Heading2Char"/>
    <w:qFormat/>
    <w:rsid w:val="006F52B0"/>
    <w:pPr>
      <w:keepNext/>
      <w:widowControl/>
      <w:outlineLvl w:val="1"/>
    </w:pPr>
    <w:rPr>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2B0"/>
    <w:rPr>
      <w:rFonts w:ascii="Arial" w:eastAsia="Times New Roman" w:hAnsi="Arial" w:cs="Arial"/>
      <w:b/>
      <w:bCs/>
      <w:snapToGrid w:val="0"/>
      <w:szCs w:val="20"/>
    </w:rPr>
  </w:style>
  <w:style w:type="character" w:customStyle="1" w:styleId="Heading2Char">
    <w:name w:val="Heading 2 Char"/>
    <w:basedOn w:val="DefaultParagraphFont"/>
    <w:link w:val="Heading2"/>
    <w:rsid w:val="006F52B0"/>
    <w:rPr>
      <w:rFonts w:ascii="Times New Roman" w:eastAsia="Times New Roman" w:hAnsi="Times New Roman" w:cs="Times New Roman"/>
      <w:b/>
      <w:sz w:val="20"/>
      <w:szCs w:val="20"/>
    </w:rPr>
  </w:style>
  <w:style w:type="paragraph" w:styleId="Header">
    <w:name w:val="header"/>
    <w:basedOn w:val="Normal"/>
    <w:link w:val="HeaderChar"/>
    <w:rsid w:val="006F52B0"/>
    <w:pPr>
      <w:tabs>
        <w:tab w:val="center" w:pos="4320"/>
        <w:tab w:val="right" w:pos="8640"/>
      </w:tabs>
    </w:pPr>
  </w:style>
  <w:style w:type="character" w:customStyle="1" w:styleId="HeaderChar">
    <w:name w:val="Header Char"/>
    <w:basedOn w:val="DefaultParagraphFont"/>
    <w:link w:val="Header"/>
    <w:rsid w:val="006F52B0"/>
    <w:rPr>
      <w:rFonts w:ascii="Times New Roman" w:eastAsia="Times New Roman" w:hAnsi="Times New Roman" w:cs="Times New Roman"/>
      <w:snapToGrid w:val="0"/>
      <w:sz w:val="24"/>
      <w:szCs w:val="20"/>
    </w:rPr>
  </w:style>
  <w:style w:type="character" w:styleId="PageNumber">
    <w:name w:val="page number"/>
    <w:basedOn w:val="DefaultParagraphFont"/>
    <w:rsid w:val="006F52B0"/>
  </w:style>
  <w:style w:type="paragraph" w:styleId="BodyText">
    <w:name w:val="Body Text"/>
    <w:basedOn w:val="Normal"/>
    <w:link w:val="BodyTextChar"/>
    <w:rsid w:val="006F52B0"/>
    <w:rPr>
      <w:sz w:val="22"/>
    </w:rPr>
  </w:style>
  <w:style w:type="character" w:customStyle="1" w:styleId="BodyTextChar">
    <w:name w:val="Body Text Char"/>
    <w:basedOn w:val="DefaultParagraphFont"/>
    <w:link w:val="BodyText"/>
    <w:rsid w:val="006F52B0"/>
    <w:rPr>
      <w:rFonts w:ascii="Times New Roman" w:eastAsia="Times New Roman" w:hAnsi="Times New Roman" w:cs="Times New Roman"/>
      <w:snapToGrid w:val="0"/>
      <w:szCs w:val="20"/>
    </w:rPr>
  </w:style>
  <w:style w:type="character" w:styleId="Hyperlink">
    <w:name w:val="Hyperlink"/>
    <w:rsid w:val="006F52B0"/>
    <w:rPr>
      <w:color w:val="0000FF"/>
      <w:u w:val="single"/>
    </w:rPr>
  </w:style>
  <w:style w:type="paragraph" w:styleId="Footer">
    <w:name w:val="footer"/>
    <w:basedOn w:val="Normal"/>
    <w:link w:val="FooterChar"/>
    <w:rsid w:val="006F52B0"/>
    <w:pPr>
      <w:tabs>
        <w:tab w:val="center" w:pos="4320"/>
        <w:tab w:val="right" w:pos="8640"/>
      </w:tabs>
    </w:pPr>
  </w:style>
  <w:style w:type="character" w:customStyle="1" w:styleId="FooterChar">
    <w:name w:val="Footer Char"/>
    <w:basedOn w:val="DefaultParagraphFont"/>
    <w:link w:val="Footer"/>
    <w:rsid w:val="006F52B0"/>
    <w:rPr>
      <w:rFonts w:ascii="Times New Roman" w:eastAsia="Times New Roman" w:hAnsi="Times New Roman" w:cs="Times New Roman"/>
      <w:snapToGrid w:val="0"/>
      <w:sz w:val="24"/>
      <w:szCs w:val="20"/>
    </w:rPr>
  </w:style>
  <w:style w:type="paragraph" w:styleId="NoSpacing">
    <w:name w:val="No Spacing"/>
    <w:uiPriority w:val="1"/>
    <w:qFormat/>
    <w:rsid w:val="006F52B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F52B0"/>
    <w:rPr>
      <w:rFonts w:ascii="Tahoma" w:hAnsi="Tahoma" w:cs="Tahoma"/>
      <w:sz w:val="16"/>
      <w:szCs w:val="16"/>
    </w:rPr>
  </w:style>
  <w:style w:type="character" w:customStyle="1" w:styleId="BalloonTextChar">
    <w:name w:val="Balloon Text Char"/>
    <w:basedOn w:val="DefaultParagraphFont"/>
    <w:link w:val="BalloonText"/>
    <w:uiPriority w:val="99"/>
    <w:semiHidden/>
    <w:rsid w:val="006F52B0"/>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B0"/>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6F52B0"/>
    <w:pPr>
      <w:keepNext/>
      <w:outlineLvl w:val="0"/>
    </w:pPr>
    <w:rPr>
      <w:rFonts w:ascii="Arial" w:hAnsi="Arial" w:cs="Arial"/>
      <w:b/>
      <w:bCs/>
      <w:sz w:val="22"/>
    </w:rPr>
  </w:style>
  <w:style w:type="paragraph" w:styleId="Heading2">
    <w:name w:val="heading 2"/>
    <w:basedOn w:val="Normal"/>
    <w:next w:val="Normal"/>
    <w:link w:val="Heading2Char"/>
    <w:qFormat/>
    <w:rsid w:val="006F52B0"/>
    <w:pPr>
      <w:keepNext/>
      <w:widowControl/>
      <w:outlineLvl w:val="1"/>
    </w:pPr>
    <w:rPr>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2B0"/>
    <w:rPr>
      <w:rFonts w:ascii="Arial" w:eastAsia="Times New Roman" w:hAnsi="Arial" w:cs="Arial"/>
      <w:b/>
      <w:bCs/>
      <w:snapToGrid w:val="0"/>
      <w:szCs w:val="20"/>
    </w:rPr>
  </w:style>
  <w:style w:type="character" w:customStyle="1" w:styleId="Heading2Char">
    <w:name w:val="Heading 2 Char"/>
    <w:basedOn w:val="DefaultParagraphFont"/>
    <w:link w:val="Heading2"/>
    <w:rsid w:val="006F52B0"/>
    <w:rPr>
      <w:rFonts w:ascii="Times New Roman" w:eastAsia="Times New Roman" w:hAnsi="Times New Roman" w:cs="Times New Roman"/>
      <w:b/>
      <w:sz w:val="20"/>
      <w:szCs w:val="20"/>
    </w:rPr>
  </w:style>
  <w:style w:type="paragraph" w:styleId="Header">
    <w:name w:val="header"/>
    <w:basedOn w:val="Normal"/>
    <w:link w:val="HeaderChar"/>
    <w:rsid w:val="006F52B0"/>
    <w:pPr>
      <w:tabs>
        <w:tab w:val="center" w:pos="4320"/>
        <w:tab w:val="right" w:pos="8640"/>
      </w:tabs>
    </w:pPr>
  </w:style>
  <w:style w:type="character" w:customStyle="1" w:styleId="HeaderChar">
    <w:name w:val="Header Char"/>
    <w:basedOn w:val="DefaultParagraphFont"/>
    <w:link w:val="Header"/>
    <w:rsid w:val="006F52B0"/>
    <w:rPr>
      <w:rFonts w:ascii="Times New Roman" w:eastAsia="Times New Roman" w:hAnsi="Times New Roman" w:cs="Times New Roman"/>
      <w:snapToGrid w:val="0"/>
      <w:sz w:val="24"/>
      <w:szCs w:val="20"/>
    </w:rPr>
  </w:style>
  <w:style w:type="character" w:styleId="PageNumber">
    <w:name w:val="page number"/>
    <w:basedOn w:val="DefaultParagraphFont"/>
    <w:rsid w:val="006F52B0"/>
  </w:style>
  <w:style w:type="paragraph" w:styleId="BodyText">
    <w:name w:val="Body Text"/>
    <w:basedOn w:val="Normal"/>
    <w:link w:val="BodyTextChar"/>
    <w:rsid w:val="006F52B0"/>
    <w:rPr>
      <w:sz w:val="22"/>
    </w:rPr>
  </w:style>
  <w:style w:type="character" w:customStyle="1" w:styleId="BodyTextChar">
    <w:name w:val="Body Text Char"/>
    <w:basedOn w:val="DefaultParagraphFont"/>
    <w:link w:val="BodyText"/>
    <w:rsid w:val="006F52B0"/>
    <w:rPr>
      <w:rFonts w:ascii="Times New Roman" w:eastAsia="Times New Roman" w:hAnsi="Times New Roman" w:cs="Times New Roman"/>
      <w:snapToGrid w:val="0"/>
      <w:szCs w:val="20"/>
    </w:rPr>
  </w:style>
  <w:style w:type="character" w:styleId="Hyperlink">
    <w:name w:val="Hyperlink"/>
    <w:rsid w:val="006F52B0"/>
    <w:rPr>
      <w:color w:val="0000FF"/>
      <w:u w:val="single"/>
    </w:rPr>
  </w:style>
  <w:style w:type="paragraph" w:styleId="Footer">
    <w:name w:val="footer"/>
    <w:basedOn w:val="Normal"/>
    <w:link w:val="FooterChar"/>
    <w:rsid w:val="006F52B0"/>
    <w:pPr>
      <w:tabs>
        <w:tab w:val="center" w:pos="4320"/>
        <w:tab w:val="right" w:pos="8640"/>
      </w:tabs>
    </w:pPr>
  </w:style>
  <w:style w:type="character" w:customStyle="1" w:styleId="FooterChar">
    <w:name w:val="Footer Char"/>
    <w:basedOn w:val="DefaultParagraphFont"/>
    <w:link w:val="Footer"/>
    <w:rsid w:val="006F52B0"/>
    <w:rPr>
      <w:rFonts w:ascii="Times New Roman" w:eastAsia="Times New Roman" w:hAnsi="Times New Roman" w:cs="Times New Roman"/>
      <w:snapToGrid w:val="0"/>
      <w:sz w:val="24"/>
      <w:szCs w:val="20"/>
    </w:rPr>
  </w:style>
  <w:style w:type="paragraph" w:styleId="NoSpacing">
    <w:name w:val="No Spacing"/>
    <w:uiPriority w:val="1"/>
    <w:qFormat/>
    <w:rsid w:val="006F52B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F52B0"/>
    <w:rPr>
      <w:rFonts w:ascii="Tahoma" w:hAnsi="Tahoma" w:cs="Tahoma"/>
      <w:sz w:val="16"/>
      <w:szCs w:val="16"/>
    </w:rPr>
  </w:style>
  <w:style w:type="character" w:customStyle="1" w:styleId="BalloonTextChar">
    <w:name w:val="Balloon Text Char"/>
    <w:basedOn w:val="DefaultParagraphFont"/>
    <w:link w:val="BalloonText"/>
    <w:uiPriority w:val="99"/>
    <w:semiHidden/>
    <w:rsid w:val="006F52B0"/>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ertwindgraphics.com/?p=1337" TargetMode="External"/><Relationship Id="rId13" Type="http://schemas.openxmlformats.org/officeDocument/2006/relationships/hyperlink" Target="http://www.osu.edu/offices/oaa/procedures/index.ht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eapo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stockphoto.com/vector/vampire-monster-gm165624129-8457911"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stockphoto.com/vector/cheetah-head-gm505780240-838576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Steven Fink</cp:lastModifiedBy>
  <cp:revision>1</cp:revision>
  <dcterms:created xsi:type="dcterms:W3CDTF">2016-04-22T20:38:00Z</dcterms:created>
  <dcterms:modified xsi:type="dcterms:W3CDTF">2016-04-22T20:39:00Z</dcterms:modified>
</cp:coreProperties>
</file>